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1F6" w:rsidRPr="006414F7" w:rsidRDefault="007161F6" w:rsidP="007161F6">
      <w:pPr>
        <w:pStyle w:val="RSBodyText"/>
        <w:rPr>
          <w:b/>
          <w:sz w:val="22"/>
          <w:szCs w:val="22"/>
          <w:highlight w:val="yellow"/>
          <w:u w:val="single"/>
        </w:rPr>
      </w:pPr>
      <w:bookmarkStart w:id="0" w:name="_GoBack"/>
      <w:bookmarkEnd w:id="0"/>
      <w:r w:rsidRPr="006414F7">
        <w:rPr>
          <w:b/>
          <w:sz w:val="22"/>
          <w:szCs w:val="22"/>
          <w:highlight w:val="yellow"/>
          <w:u w:val="single"/>
        </w:rPr>
        <w:t>[Letterhead]</w:t>
      </w:r>
    </w:p>
    <w:p w:rsidR="007161F6" w:rsidRDefault="007161F6" w:rsidP="007161F6">
      <w:pPr>
        <w:pStyle w:val="RSBodyText"/>
        <w:rPr>
          <w:b/>
          <w:sz w:val="22"/>
          <w:szCs w:val="22"/>
        </w:rPr>
      </w:pPr>
      <w:r w:rsidRPr="006414F7">
        <w:rPr>
          <w:b/>
          <w:sz w:val="22"/>
          <w:szCs w:val="22"/>
          <w:highlight w:val="yellow"/>
        </w:rPr>
        <w:t>[Date]</w:t>
      </w:r>
    </w:p>
    <w:p w:rsidR="00382AAD" w:rsidRPr="00382AAD" w:rsidRDefault="00382AAD" w:rsidP="007161F6">
      <w:pPr>
        <w:pStyle w:val="RSBodyText"/>
        <w:rPr>
          <w:sz w:val="22"/>
          <w:szCs w:val="22"/>
        </w:rPr>
      </w:pPr>
      <w:r>
        <w:rPr>
          <w:sz w:val="22"/>
          <w:szCs w:val="22"/>
        </w:rPr>
        <w:t xml:space="preserve">Via Certified </w:t>
      </w:r>
      <w:r w:rsidR="00AF7CC4">
        <w:rPr>
          <w:sz w:val="22"/>
          <w:szCs w:val="22"/>
        </w:rPr>
        <w:t xml:space="preserve">Mail </w:t>
      </w:r>
      <w:r>
        <w:rPr>
          <w:sz w:val="22"/>
          <w:szCs w:val="22"/>
        </w:rPr>
        <w:t>and Electronic Mail (DOR_CorpTax@delaware.gov)</w:t>
      </w:r>
    </w:p>
    <w:p w:rsidR="007161F6" w:rsidRPr="00C462FD" w:rsidRDefault="00382AAD" w:rsidP="007161F6">
      <w:pPr>
        <w:pStyle w:val="RSBodyText"/>
        <w:rPr>
          <w:sz w:val="22"/>
          <w:szCs w:val="22"/>
        </w:rPr>
      </w:pPr>
      <w:r>
        <w:rPr>
          <w:sz w:val="22"/>
          <w:szCs w:val="22"/>
        </w:rPr>
        <w:t>Director of Revenue</w:t>
      </w:r>
      <w:r>
        <w:rPr>
          <w:sz w:val="22"/>
          <w:szCs w:val="22"/>
        </w:rPr>
        <w:br/>
      </w:r>
      <w:r w:rsidR="007161F6" w:rsidRPr="00C462FD">
        <w:rPr>
          <w:sz w:val="22"/>
          <w:szCs w:val="22"/>
        </w:rPr>
        <w:t>Delaware Division of Revenue</w:t>
      </w:r>
      <w:r w:rsidR="007161F6" w:rsidRPr="00C462FD">
        <w:rPr>
          <w:sz w:val="22"/>
          <w:szCs w:val="22"/>
        </w:rPr>
        <w:br/>
        <w:t>P.O. Box 2044</w:t>
      </w:r>
      <w:r w:rsidR="007161F6" w:rsidRPr="00C462FD">
        <w:rPr>
          <w:sz w:val="22"/>
          <w:szCs w:val="22"/>
        </w:rPr>
        <w:br/>
        <w:t>Wilmington, DE 198</w:t>
      </w:r>
      <w:r w:rsidR="0019579C">
        <w:rPr>
          <w:sz w:val="22"/>
          <w:szCs w:val="22"/>
        </w:rPr>
        <w:t>01</w:t>
      </w:r>
      <w:r w:rsidR="007161F6" w:rsidRPr="00C462FD">
        <w:rPr>
          <w:sz w:val="22"/>
          <w:szCs w:val="22"/>
        </w:rPr>
        <w:t>-2044</w:t>
      </w:r>
    </w:p>
    <w:p w:rsidR="007161F6" w:rsidRPr="00C462FD" w:rsidRDefault="007161F6" w:rsidP="00C462FD">
      <w:pPr>
        <w:pStyle w:val="RSBodyText"/>
        <w:rPr>
          <w:sz w:val="22"/>
          <w:szCs w:val="22"/>
        </w:rPr>
      </w:pPr>
      <w:r w:rsidRPr="00C462FD">
        <w:rPr>
          <w:b/>
          <w:sz w:val="22"/>
          <w:szCs w:val="22"/>
        </w:rPr>
        <w:t xml:space="preserve">Re: </w:t>
      </w:r>
      <w:r w:rsidRPr="00C462FD">
        <w:rPr>
          <w:sz w:val="22"/>
          <w:szCs w:val="22"/>
        </w:rPr>
        <w:tab/>
      </w:r>
      <w:r w:rsidRPr="00C462FD">
        <w:rPr>
          <w:b/>
          <w:sz w:val="22"/>
          <w:szCs w:val="22"/>
        </w:rPr>
        <w:t>Claim for Refund</w:t>
      </w:r>
    </w:p>
    <w:p w:rsidR="007161F6" w:rsidRPr="00C462FD" w:rsidRDefault="007161F6" w:rsidP="007161F6">
      <w:pPr>
        <w:pStyle w:val="RSBodyText"/>
        <w:rPr>
          <w:sz w:val="22"/>
          <w:szCs w:val="22"/>
        </w:rPr>
      </w:pPr>
      <w:r w:rsidRPr="00C462FD">
        <w:rPr>
          <w:sz w:val="22"/>
          <w:szCs w:val="22"/>
        </w:rPr>
        <w:t>To the Division:</w:t>
      </w:r>
    </w:p>
    <w:p w:rsidR="007161F6" w:rsidRPr="00C462FD" w:rsidRDefault="00C462FD" w:rsidP="007161F6">
      <w:pPr>
        <w:pStyle w:val="RSBodyText"/>
        <w:rPr>
          <w:sz w:val="22"/>
          <w:szCs w:val="22"/>
        </w:rPr>
      </w:pPr>
      <w:r w:rsidRPr="00C462FD">
        <w:rPr>
          <w:sz w:val="22"/>
          <w:szCs w:val="22"/>
        </w:rPr>
        <w:t xml:space="preserve">Through this letter </w:t>
      </w:r>
      <w:r w:rsidRPr="006414F7">
        <w:rPr>
          <w:sz w:val="22"/>
          <w:szCs w:val="22"/>
          <w:highlight w:val="yellow"/>
        </w:rPr>
        <w:t>[Taxpayer]</w:t>
      </w:r>
      <w:r w:rsidRPr="00C462FD">
        <w:rPr>
          <w:sz w:val="22"/>
          <w:szCs w:val="22"/>
        </w:rPr>
        <w:t xml:space="preserve"> </w:t>
      </w:r>
      <w:r w:rsidR="006414F7">
        <w:rPr>
          <w:sz w:val="22"/>
          <w:szCs w:val="22"/>
        </w:rPr>
        <w:t xml:space="preserve">(EIN No. </w:t>
      </w:r>
      <w:r w:rsidR="006414F7" w:rsidRPr="006414F7">
        <w:rPr>
          <w:sz w:val="22"/>
          <w:szCs w:val="22"/>
          <w:highlight w:val="yellow"/>
        </w:rPr>
        <w:t>____</w:t>
      </w:r>
      <w:r w:rsidR="006414F7">
        <w:rPr>
          <w:sz w:val="22"/>
          <w:szCs w:val="22"/>
        </w:rPr>
        <w:t xml:space="preserve">) </w:t>
      </w:r>
      <w:r w:rsidR="006B4505">
        <w:rPr>
          <w:sz w:val="22"/>
          <w:szCs w:val="22"/>
        </w:rPr>
        <w:t xml:space="preserve">(“Petitioner”) </w:t>
      </w:r>
      <w:r w:rsidRPr="00C462FD">
        <w:rPr>
          <w:sz w:val="22"/>
          <w:szCs w:val="22"/>
        </w:rPr>
        <w:t xml:space="preserve">is filing a </w:t>
      </w:r>
      <w:r w:rsidR="00F50222">
        <w:rPr>
          <w:sz w:val="22"/>
          <w:szCs w:val="22"/>
        </w:rPr>
        <w:t xml:space="preserve">claim for </w:t>
      </w:r>
      <w:r w:rsidRPr="00C462FD">
        <w:rPr>
          <w:sz w:val="22"/>
          <w:szCs w:val="22"/>
        </w:rPr>
        <w:t xml:space="preserve">refund </w:t>
      </w:r>
      <w:r w:rsidR="006B4505">
        <w:rPr>
          <w:sz w:val="22"/>
          <w:szCs w:val="22"/>
        </w:rPr>
        <w:t xml:space="preserve">of </w:t>
      </w:r>
      <w:r w:rsidRPr="00C462FD">
        <w:rPr>
          <w:sz w:val="22"/>
          <w:szCs w:val="22"/>
        </w:rPr>
        <w:t xml:space="preserve">corporate income tax paid for its tax year[s] ending </w:t>
      </w:r>
      <w:r w:rsidRPr="006414F7">
        <w:rPr>
          <w:sz w:val="22"/>
          <w:szCs w:val="22"/>
          <w:highlight w:val="yellow"/>
        </w:rPr>
        <w:t>_____</w:t>
      </w:r>
      <w:r w:rsidRPr="00C462FD">
        <w:rPr>
          <w:sz w:val="22"/>
          <w:szCs w:val="22"/>
        </w:rPr>
        <w:t xml:space="preserve">.    </w:t>
      </w:r>
      <w:r w:rsidR="006B4505">
        <w:rPr>
          <w:sz w:val="22"/>
          <w:szCs w:val="22"/>
        </w:rPr>
        <w:t>Petitioner is entitled to a refund of $</w:t>
      </w:r>
      <w:r w:rsidR="006B4505" w:rsidRPr="006414F7">
        <w:rPr>
          <w:sz w:val="22"/>
          <w:szCs w:val="22"/>
          <w:highlight w:val="yellow"/>
        </w:rPr>
        <w:t>____</w:t>
      </w:r>
      <w:r w:rsidR="006B4505">
        <w:rPr>
          <w:sz w:val="22"/>
          <w:szCs w:val="22"/>
        </w:rPr>
        <w:t xml:space="preserve">.  </w:t>
      </w:r>
      <w:r w:rsidR="00213653" w:rsidRPr="00213653">
        <w:rPr>
          <w:sz w:val="22"/>
          <w:szCs w:val="22"/>
          <w:highlight w:val="yellow"/>
        </w:rPr>
        <w:t>[Optional: An Amended Delaware Corporation Income Tax Return</w:t>
      </w:r>
      <w:r w:rsidR="00C373E2">
        <w:rPr>
          <w:sz w:val="22"/>
          <w:szCs w:val="22"/>
          <w:highlight w:val="yellow"/>
        </w:rPr>
        <w:t xml:space="preserve">, Form </w:t>
      </w:r>
      <w:proofErr w:type="spellStart"/>
      <w:r w:rsidR="00C373E2">
        <w:rPr>
          <w:sz w:val="22"/>
          <w:szCs w:val="22"/>
          <w:highlight w:val="yellow"/>
        </w:rPr>
        <w:t>1100X</w:t>
      </w:r>
      <w:proofErr w:type="spellEnd"/>
      <w:r w:rsidR="00C373E2">
        <w:rPr>
          <w:sz w:val="22"/>
          <w:szCs w:val="22"/>
          <w:highlight w:val="yellow"/>
        </w:rPr>
        <w:t>,</w:t>
      </w:r>
      <w:r w:rsidR="00213653" w:rsidRPr="00213653">
        <w:rPr>
          <w:sz w:val="22"/>
          <w:szCs w:val="22"/>
          <w:highlight w:val="yellow"/>
        </w:rPr>
        <w:t xml:space="preserve"> is enclosed.]</w:t>
      </w:r>
    </w:p>
    <w:p w:rsidR="00A84C90" w:rsidRPr="00C462FD" w:rsidRDefault="00337B4A" w:rsidP="00C462FD">
      <w:pPr>
        <w:pStyle w:val="Heading1"/>
        <w:numPr>
          <w:ilvl w:val="0"/>
          <w:numId w:val="0"/>
        </w:numPr>
        <w:rPr>
          <w:sz w:val="22"/>
          <w:szCs w:val="22"/>
        </w:rPr>
      </w:pPr>
      <w:r w:rsidRPr="00C462FD">
        <w:rPr>
          <w:sz w:val="22"/>
          <w:szCs w:val="22"/>
        </w:rPr>
        <w:t xml:space="preserve">Petitioner is </w:t>
      </w:r>
      <w:r w:rsidR="008A152B">
        <w:rPr>
          <w:sz w:val="22"/>
          <w:szCs w:val="22"/>
        </w:rPr>
        <w:t xml:space="preserve">seeking a refund because it is entitled </w:t>
      </w:r>
      <w:r w:rsidRPr="00C462FD">
        <w:rPr>
          <w:sz w:val="22"/>
          <w:szCs w:val="22"/>
        </w:rPr>
        <w:t xml:space="preserve">to compute its </w:t>
      </w:r>
      <w:r w:rsidR="00A94C29">
        <w:rPr>
          <w:sz w:val="22"/>
          <w:szCs w:val="22"/>
        </w:rPr>
        <w:t>net operating loss</w:t>
      </w:r>
      <w:r w:rsidR="00BE342B" w:rsidRPr="00C462FD">
        <w:rPr>
          <w:sz w:val="22"/>
          <w:szCs w:val="22"/>
        </w:rPr>
        <w:t xml:space="preserve"> </w:t>
      </w:r>
      <w:r w:rsidRPr="00C462FD">
        <w:rPr>
          <w:sz w:val="22"/>
          <w:szCs w:val="22"/>
        </w:rPr>
        <w:t xml:space="preserve">deduction without regard to the consolidated NOL of the </w:t>
      </w:r>
      <w:r w:rsidR="0050719B" w:rsidRPr="00C462FD">
        <w:rPr>
          <w:sz w:val="22"/>
          <w:szCs w:val="22"/>
        </w:rPr>
        <w:t xml:space="preserve">federal </w:t>
      </w:r>
      <w:r w:rsidRPr="00C462FD">
        <w:rPr>
          <w:sz w:val="22"/>
          <w:szCs w:val="22"/>
        </w:rPr>
        <w:t>consolidated group</w:t>
      </w:r>
      <w:r w:rsidR="00AD1EB4" w:rsidRPr="00C462FD">
        <w:rPr>
          <w:sz w:val="22"/>
          <w:szCs w:val="22"/>
        </w:rPr>
        <w:t xml:space="preserve"> of which it was a member</w:t>
      </w:r>
      <w:r w:rsidRPr="00C462FD">
        <w:rPr>
          <w:sz w:val="22"/>
          <w:szCs w:val="22"/>
        </w:rPr>
        <w:t xml:space="preserve">.  </w:t>
      </w:r>
      <w:r w:rsidR="0050719B" w:rsidRPr="00C462FD">
        <w:rPr>
          <w:sz w:val="22"/>
          <w:szCs w:val="22"/>
        </w:rPr>
        <w:t xml:space="preserve">30 </w:t>
      </w:r>
      <w:r w:rsidR="0050719B" w:rsidRPr="00C462FD">
        <w:rPr>
          <w:i/>
          <w:sz w:val="22"/>
          <w:szCs w:val="22"/>
        </w:rPr>
        <w:t>Del. C.</w:t>
      </w:r>
      <w:r w:rsidR="0050719B" w:rsidRPr="00C462FD">
        <w:rPr>
          <w:sz w:val="22"/>
          <w:szCs w:val="22"/>
        </w:rPr>
        <w:t xml:space="preserve"> § 1903(a); IRC § 172; </w:t>
      </w:r>
      <w:r w:rsidRPr="00C462FD">
        <w:rPr>
          <w:i/>
          <w:sz w:val="22"/>
          <w:szCs w:val="22"/>
        </w:rPr>
        <w:t>Dir. of Revenue v. Verisign, Inc.</w:t>
      </w:r>
      <w:r w:rsidRPr="00C462FD">
        <w:rPr>
          <w:sz w:val="22"/>
          <w:szCs w:val="22"/>
        </w:rPr>
        <w:t xml:space="preserve">, No. 18, 2021, 2021 Del. LEXIS 375 (Del. 2021).  </w:t>
      </w:r>
    </w:p>
    <w:p w:rsidR="00337B4A" w:rsidRPr="00C462FD" w:rsidRDefault="00BE342B" w:rsidP="00C462FD">
      <w:pPr>
        <w:pStyle w:val="Heading1"/>
        <w:numPr>
          <w:ilvl w:val="0"/>
          <w:numId w:val="0"/>
        </w:numPr>
        <w:rPr>
          <w:sz w:val="22"/>
          <w:szCs w:val="22"/>
        </w:rPr>
      </w:pPr>
      <w:r w:rsidRPr="00C462FD">
        <w:rPr>
          <w:sz w:val="22"/>
          <w:szCs w:val="22"/>
        </w:rPr>
        <w:t>For tax years b</w:t>
      </w:r>
      <w:r w:rsidR="003A06FD" w:rsidRPr="00C462FD">
        <w:rPr>
          <w:sz w:val="22"/>
          <w:szCs w:val="22"/>
        </w:rPr>
        <w:t xml:space="preserve">efore </w:t>
      </w:r>
      <w:r w:rsidRPr="00C462FD">
        <w:rPr>
          <w:sz w:val="22"/>
          <w:szCs w:val="22"/>
        </w:rPr>
        <w:t xml:space="preserve">30 </w:t>
      </w:r>
      <w:r w:rsidRPr="00C462FD">
        <w:rPr>
          <w:i/>
          <w:sz w:val="22"/>
          <w:szCs w:val="22"/>
        </w:rPr>
        <w:t xml:space="preserve">Del. C. </w:t>
      </w:r>
      <w:r w:rsidRPr="00C462FD">
        <w:rPr>
          <w:sz w:val="22"/>
          <w:szCs w:val="22"/>
        </w:rPr>
        <w:t>§ 1903(a)(2)i.</w:t>
      </w:r>
      <w:r w:rsidR="005B0BC5" w:rsidRPr="00C462FD">
        <w:rPr>
          <w:sz w:val="22"/>
          <w:szCs w:val="22"/>
        </w:rPr>
        <w:t xml:space="preserve"> </w:t>
      </w:r>
      <w:r w:rsidRPr="00C462FD">
        <w:rPr>
          <w:sz w:val="22"/>
          <w:szCs w:val="22"/>
        </w:rPr>
        <w:t xml:space="preserve">is effective, </w:t>
      </w:r>
      <w:r w:rsidR="003A06FD" w:rsidRPr="00C462FD">
        <w:rPr>
          <w:sz w:val="22"/>
          <w:szCs w:val="22"/>
        </w:rPr>
        <w:t xml:space="preserve">the Division </w:t>
      </w:r>
      <w:r w:rsidRPr="00C462FD">
        <w:rPr>
          <w:sz w:val="22"/>
          <w:szCs w:val="22"/>
        </w:rPr>
        <w:t xml:space="preserve">has no authority </w:t>
      </w:r>
      <w:r w:rsidR="003A06FD" w:rsidRPr="00C462FD">
        <w:rPr>
          <w:sz w:val="22"/>
          <w:szCs w:val="22"/>
        </w:rPr>
        <w:t xml:space="preserve">to limit Petitioner’s NOL deduction to the consolidated </w:t>
      </w:r>
      <w:r w:rsidRPr="00C462FD">
        <w:rPr>
          <w:sz w:val="22"/>
          <w:szCs w:val="22"/>
        </w:rPr>
        <w:t>NOL</w:t>
      </w:r>
      <w:r w:rsidR="00337B4A" w:rsidRPr="00C462FD">
        <w:rPr>
          <w:sz w:val="22"/>
          <w:szCs w:val="22"/>
        </w:rPr>
        <w:t xml:space="preserve">.  </w:t>
      </w:r>
      <w:r w:rsidR="00337B4A" w:rsidRPr="00C462FD">
        <w:rPr>
          <w:i/>
          <w:sz w:val="22"/>
          <w:szCs w:val="22"/>
        </w:rPr>
        <w:t>Id.</w:t>
      </w:r>
      <w:r w:rsidRPr="00C462FD">
        <w:rPr>
          <w:i/>
          <w:sz w:val="22"/>
          <w:szCs w:val="22"/>
        </w:rPr>
        <w:t xml:space="preserve">  </w:t>
      </w:r>
      <w:r w:rsidRPr="00C462FD">
        <w:rPr>
          <w:sz w:val="22"/>
          <w:szCs w:val="22"/>
        </w:rPr>
        <w:t xml:space="preserve">For tax years after 30 </w:t>
      </w:r>
      <w:r w:rsidRPr="00C462FD">
        <w:rPr>
          <w:i/>
          <w:sz w:val="22"/>
          <w:szCs w:val="22"/>
        </w:rPr>
        <w:t xml:space="preserve">Del. C. </w:t>
      </w:r>
      <w:r w:rsidRPr="00C462FD">
        <w:rPr>
          <w:sz w:val="22"/>
          <w:szCs w:val="22"/>
        </w:rPr>
        <w:t xml:space="preserve">§ 1903(a)(2)i. is effective, </w:t>
      </w:r>
      <w:r w:rsidR="00337B4A" w:rsidRPr="00C462FD">
        <w:rPr>
          <w:sz w:val="22"/>
          <w:szCs w:val="22"/>
        </w:rPr>
        <w:t xml:space="preserve">the limitation is contrary to </w:t>
      </w:r>
      <w:r w:rsidRPr="00C462FD">
        <w:rPr>
          <w:sz w:val="22"/>
          <w:szCs w:val="22"/>
        </w:rPr>
        <w:t xml:space="preserve">Delaware </w:t>
      </w:r>
      <w:r w:rsidR="00337B4A" w:rsidRPr="00C462FD">
        <w:rPr>
          <w:sz w:val="22"/>
          <w:szCs w:val="22"/>
        </w:rPr>
        <w:t xml:space="preserve">law.  For example, the limitation violates the </w:t>
      </w:r>
      <w:r w:rsidR="00225B3C" w:rsidRPr="00C462FD">
        <w:rPr>
          <w:sz w:val="22"/>
          <w:szCs w:val="22"/>
        </w:rPr>
        <w:t>Uniformity Clause of the Delaware Constitution</w:t>
      </w:r>
      <w:r w:rsidR="00337B4A" w:rsidRPr="00C462FD">
        <w:rPr>
          <w:sz w:val="22"/>
          <w:szCs w:val="22"/>
        </w:rPr>
        <w:t xml:space="preserve">.  </w:t>
      </w:r>
      <w:r w:rsidR="00337B4A" w:rsidRPr="00C462FD">
        <w:rPr>
          <w:i/>
          <w:sz w:val="22"/>
          <w:szCs w:val="22"/>
        </w:rPr>
        <w:t xml:space="preserve">See </w:t>
      </w:r>
      <w:r w:rsidR="00337B4A" w:rsidRPr="00C462FD">
        <w:rPr>
          <w:sz w:val="22"/>
          <w:szCs w:val="22"/>
        </w:rPr>
        <w:t xml:space="preserve">Del. Const. art. VIII, § 1; </w:t>
      </w:r>
      <w:r w:rsidR="00337B4A" w:rsidRPr="00C462FD">
        <w:rPr>
          <w:i/>
          <w:sz w:val="22"/>
          <w:szCs w:val="22"/>
        </w:rPr>
        <w:t>Verisign, Inc. v. Dir. of Revenue</w:t>
      </w:r>
      <w:r w:rsidR="00337B4A" w:rsidRPr="00C462FD">
        <w:rPr>
          <w:sz w:val="22"/>
          <w:szCs w:val="22"/>
        </w:rPr>
        <w:t xml:space="preserve">, C.A. No. </w:t>
      </w:r>
      <w:proofErr w:type="spellStart"/>
      <w:r w:rsidR="00337B4A" w:rsidRPr="00C462FD">
        <w:rPr>
          <w:sz w:val="22"/>
          <w:szCs w:val="22"/>
        </w:rPr>
        <w:t>N19C</w:t>
      </w:r>
      <w:proofErr w:type="spellEnd"/>
      <w:r w:rsidR="00337B4A" w:rsidRPr="00C462FD">
        <w:rPr>
          <w:sz w:val="22"/>
          <w:szCs w:val="22"/>
        </w:rPr>
        <w:t>-08-093 JRJ, 2020 Del. Super. LEXIS 3011 (Del. Super. 2020).</w:t>
      </w:r>
      <w:r w:rsidR="0045247D" w:rsidRPr="00C462FD">
        <w:rPr>
          <w:sz w:val="22"/>
          <w:szCs w:val="22"/>
        </w:rPr>
        <w:t xml:space="preserve"> </w:t>
      </w:r>
    </w:p>
    <w:p w:rsidR="0045247D" w:rsidRPr="00C462FD" w:rsidRDefault="00C462FD" w:rsidP="00C462FD">
      <w:pPr>
        <w:pStyle w:val="Heading1"/>
        <w:numPr>
          <w:ilvl w:val="0"/>
          <w:numId w:val="0"/>
        </w:numPr>
        <w:rPr>
          <w:sz w:val="22"/>
          <w:szCs w:val="22"/>
        </w:rPr>
      </w:pPr>
      <w:r w:rsidRPr="00C462FD">
        <w:rPr>
          <w:sz w:val="22"/>
          <w:szCs w:val="22"/>
        </w:rPr>
        <w:t xml:space="preserve">Alternatively, </w:t>
      </w:r>
      <w:r w:rsidR="0045247D" w:rsidRPr="00C462FD">
        <w:rPr>
          <w:sz w:val="22"/>
          <w:szCs w:val="22"/>
        </w:rPr>
        <w:t xml:space="preserve">Petitioner is entitled to compute its NOL </w:t>
      </w:r>
      <w:r w:rsidR="009E31E3" w:rsidRPr="00C462FD">
        <w:rPr>
          <w:sz w:val="22"/>
          <w:szCs w:val="22"/>
        </w:rPr>
        <w:t xml:space="preserve">and consolidated NOL limitation </w:t>
      </w:r>
      <w:r w:rsidR="0045247D" w:rsidRPr="00C462FD">
        <w:rPr>
          <w:sz w:val="22"/>
          <w:szCs w:val="22"/>
        </w:rPr>
        <w:t xml:space="preserve">without regard to </w:t>
      </w:r>
      <w:r w:rsidR="005B4336" w:rsidRPr="00C462FD">
        <w:rPr>
          <w:sz w:val="22"/>
          <w:szCs w:val="22"/>
        </w:rPr>
        <w:t xml:space="preserve">certain </w:t>
      </w:r>
      <w:r w:rsidR="0045247D" w:rsidRPr="00C462FD">
        <w:rPr>
          <w:sz w:val="22"/>
          <w:szCs w:val="22"/>
        </w:rPr>
        <w:t xml:space="preserve">foreign dividends.  To the extent the NOL or consolidated NOL </w:t>
      </w:r>
      <w:r w:rsidR="0029518E" w:rsidRPr="00C462FD">
        <w:rPr>
          <w:sz w:val="22"/>
          <w:szCs w:val="22"/>
        </w:rPr>
        <w:t xml:space="preserve">limitation </w:t>
      </w:r>
      <w:r w:rsidR="005B0BC5" w:rsidRPr="00C462FD">
        <w:rPr>
          <w:sz w:val="22"/>
          <w:szCs w:val="22"/>
        </w:rPr>
        <w:t>was</w:t>
      </w:r>
      <w:r w:rsidR="0045247D" w:rsidRPr="00C462FD">
        <w:rPr>
          <w:sz w:val="22"/>
          <w:szCs w:val="22"/>
        </w:rPr>
        <w:t xml:space="preserve"> diminished by </w:t>
      </w:r>
      <w:r w:rsidR="0029518E" w:rsidRPr="00C462FD">
        <w:rPr>
          <w:sz w:val="22"/>
          <w:szCs w:val="22"/>
        </w:rPr>
        <w:t xml:space="preserve">dividends from </w:t>
      </w:r>
      <w:r w:rsidR="005B0BC5" w:rsidRPr="00C462FD">
        <w:rPr>
          <w:sz w:val="22"/>
          <w:szCs w:val="22"/>
        </w:rPr>
        <w:t xml:space="preserve">foreign </w:t>
      </w:r>
      <w:r w:rsidR="0029518E" w:rsidRPr="00C462FD">
        <w:rPr>
          <w:sz w:val="22"/>
          <w:szCs w:val="22"/>
        </w:rPr>
        <w:t xml:space="preserve">subsidiaries, </w:t>
      </w:r>
      <w:r w:rsidR="0045247D" w:rsidRPr="00C462FD">
        <w:rPr>
          <w:sz w:val="22"/>
          <w:szCs w:val="22"/>
        </w:rPr>
        <w:t xml:space="preserve">but </w:t>
      </w:r>
      <w:r w:rsidR="005B0BC5" w:rsidRPr="00C462FD">
        <w:rPr>
          <w:sz w:val="22"/>
          <w:szCs w:val="22"/>
        </w:rPr>
        <w:t xml:space="preserve">would not have been </w:t>
      </w:r>
      <w:r w:rsidR="0045247D" w:rsidRPr="00C462FD">
        <w:rPr>
          <w:sz w:val="22"/>
          <w:szCs w:val="22"/>
        </w:rPr>
        <w:t xml:space="preserve">diminished by </w:t>
      </w:r>
      <w:r w:rsidR="0029518E" w:rsidRPr="00C462FD">
        <w:rPr>
          <w:sz w:val="22"/>
          <w:szCs w:val="22"/>
        </w:rPr>
        <w:t xml:space="preserve">dividends from </w:t>
      </w:r>
      <w:r w:rsidR="002C657A" w:rsidRPr="00C462FD">
        <w:rPr>
          <w:sz w:val="22"/>
          <w:szCs w:val="22"/>
        </w:rPr>
        <w:t xml:space="preserve">similarly situated </w:t>
      </w:r>
      <w:r w:rsidR="005B0BC5" w:rsidRPr="00C462FD">
        <w:rPr>
          <w:sz w:val="22"/>
          <w:szCs w:val="22"/>
        </w:rPr>
        <w:t xml:space="preserve">domestic </w:t>
      </w:r>
      <w:r w:rsidR="0029518E" w:rsidRPr="00C462FD">
        <w:rPr>
          <w:sz w:val="22"/>
          <w:szCs w:val="22"/>
        </w:rPr>
        <w:t>subsidiaries</w:t>
      </w:r>
      <w:r w:rsidR="0045247D" w:rsidRPr="00C462FD">
        <w:rPr>
          <w:sz w:val="22"/>
          <w:szCs w:val="22"/>
        </w:rPr>
        <w:t xml:space="preserve">, the </w:t>
      </w:r>
      <w:r w:rsidR="0029518E" w:rsidRPr="00C462FD">
        <w:rPr>
          <w:sz w:val="22"/>
          <w:szCs w:val="22"/>
        </w:rPr>
        <w:t xml:space="preserve">computation of the NOL </w:t>
      </w:r>
      <w:r w:rsidR="0045247D" w:rsidRPr="00C462FD">
        <w:rPr>
          <w:sz w:val="22"/>
          <w:szCs w:val="22"/>
        </w:rPr>
        <w:t xml:space="preserve">or consolidated NOL </w:t>
      </w:r>
      <w:r w:rsidR="0029518E" w:rsidRPr="00C462FD">
        <w:rPr>
          <w:sz w:val="22"/>
          <w:szCs w:val="22"/>
        </w:rPr>
        <w:t xml:space="preserve">limitation </w:t>
      </w:r>
      <w:r w:rsidR="0045247D" w:rsidRPr="00C462FD">
        <w:rPr>
          <w:sz w:val="22"/>
          <w:szCs w:val="22"/>
        </w:rPr>
        <w:t xml:space="preserve">treats </w:t>
      </w:r>
      <w:r w:rsidR="0029518E" w:rsidRPr="00C462FD">
        <w:rPr>
          <w:sz w:val="22"/>
          <w:szCs w:val="22"/>
        </w:rPr>
        <w:t xml:space="preserve">dividends from foreign subsidiaries less favorably than </w:t>
      </w:r>
      <w:r w:rsidR="0045247D" w:rsidRPr="00C462FD">
        <w:rPr>
          <w:sz w:val="22"/>
          <w:szCs w:val="22"/>
        </w:rPr>
        <w:t xml:space="preserve">dividends </w:t>
      </w:r>
      <w:r w:rsidR="0029518E" w:rsidRPr="00C462FD">
        <w:rPr>
          <w:sz w:val="22"/>
          <w:szCs w:val="22"/>
        </w:rPr>
        <w:t xml:space="preserve">from domestic </w:t>
      </w:r>
      <w:r w:rsidR="001E3386" w:rsidRPr="00C462FD">
        <w:rPr>
          <w:sz w:val="22"/>
          <w:szCs w:val="22"/>
        </w:rPr>
        <w:t>subsidiaries</w:t>
      </w:r>
      <w:r w:rsidR="0045247D" w:rsidRPr="00C462FD">
        <w:rPr>
          <w:sz w:val="22"/>
          <w:szCs w:val="22"/>
        </w:rPr>
        <w:t xml:space="preserve">.  That unequal treatment </w:t>
      </w:r>
      <w:r w:rsidR="00FF3DED" w:rsidRPr="00C462FD">
        <w:rPr>
          <w:sz w:val="22"/>
          <w:szCs w:val="22"/>
        </w:rPr>
        <w:t>violates</w:t>
      </w:r>
      <w:r w:rsidR="0045247D" w:rsidRPr="00C462FD">
        <w:rPr>
          <w:sz w:val="22"/>
          <w:szCs w:val="22"/>
        </w:rPr>
        <w:t xml:space="preserve"> the Foreign Commerce Clause of the United States Constitution.  </w:t>
      </w:r>
      <w:r w:rsidR="0045247D" w:rsidRPr="00C462FD">
        <w:rPr>
          <w:i/>
          <w:sz w:val="22"/>
          <w:szCs w:val="22"/>
        </w:rPr>
        <w:t>See Kraft Gen. Foods v. Iowa Dep’t of Revenue and Fin.</w:t>
      </w:r>
      <w:r w:rsidR="0045247D" w:rsidRPr="00C462FD">
        <w:rPr>
          <w:sz w:val="22"/>
          <w:szCs w:val="22"/>
        </w:rPr>
        <w:t>, 505 U.S. 71 (1992).</w:t>
      </w:r>
    </w:p>
    <w:p w:rsidR="00337B4A" w:rsidRPr="008A152B" w:rsidRDefault="008A152B" w:rsidP="00337B4A">
      <w:pPr>
        <w:pStyle w:val="Heading1"/>
        <w:numPr>
          <w:ilvl w:val="0"/>
          <w:numId w:val="0"/>
        </w:numPr>
        <w:ind w:left="720" w:hanging="720"/>
        <w:rPr>
          <w:sz w:val="22"/>
          <w:szCs w:val="22"/>
        </w:rPr>
      </w:pPr>
      <w:r w:rsidRPr="008A152B">
        <w:rPr>
          <w:sz w:val="22"/>
          <w:szCs w:val="22"/>
        </w:rPr>
        <w:t xml:space="preserve">Petitioner is also seeking a refund for the following, among other, </w:t>
      </w:r>
      <w:r w:rsidR="00F57B2E">
        <w:rPr>
          <w:sz w:val="22"/>
          <w:szCs w:val="22"/>
        </w:rPr>
        <w:t>reasons</w:t>
      </w:r>
      <w:r w:rsidRPr="008A152B">
        <w:rPr>
          <w:sz w:val="22"/>
          <w:szCs w:val="22"/>
        </w:rPr>
        <w:t xml:space="preserve">: </w:t>
      </w:r>
    </w:p>
    <w:p w:rsidR="00FB470A" w:rsidRPr="00C462FD" w:rsidRDefault="00FB470A" w:rsidP="00FB470A">
      <w:pPr>
        <w:pStyle w:val="Heading1"/>
        <w:rPr>
          <w:sz w:val="22"/>
          <w:szCs w:val="22"/>
        </w:rPr>
      </w:pPr>
      <w:r w:rsidRPr="00C462FD">
        <w:rPr>
          <w:sz w:val="22"/>
          <w:szCs w:val="22"/>
        </w:rPr>
        <w:t xml:space="preserve">Petitioner is entitled to </w:t>
      </w:r>
      <w:r w:rsidR="001A0C74" w:rsidRPr="00C462FD">
        <w:rPr>
          <w:sz w:val="22"/>
          <w:szCs w:val="22"/>
        </w:rPr>
        <w:t xml:space="preserve">properly </w:t>
      </w:r>
      <w:r w:rsidRPr="00C462FD">
        <w:rPr>
          <w:sz w:val="22"/>
          <w:szCs w:val="22"/>
        </w:rPr>
        <w:t xml:space="preserve">compute its corporate income tax in accordance with 30 </w:t>
      </w:r>
      <w:r w:rsidRPr="00C462FD">
        <w:rPr>
          <w:i/>
          <w:sz w:val="22"/>
          <w:szCs w:val="22"/>
        </w:rPr>
        <w:t>Del. C.</w:t>
      </w:r>
      <w:r w:rsidRPr="00C462FD">
        <w:rPr>
          <w:sz w:val="22"/>
          <w:szCs w:val="22"/>
        </w:rPr>
        <w:t xml:space="preserve"> § 1901 </w:t>
      </w:r>
      <w:r w:rsidRPr="00C462FD">
        <w:rPr>
          <w:i/>
          <w:sz w:val="22"/>
          <w:szCs w:val="22"/>
        </w:rPr>
        <w:t>et seq.</w:t>
      </w:r>
      <w:r w:rsidRPr="00C462FD">
        <w:rPr>
          <w:sz w:val="22"/>
          <w:szCs w:val="22"/>
        </w:rPr>
        <w:t xml:space="preserve"> </w:t>
      </w:r>
    </w:p>
    <w:p w:rsidR="00FB470A" w:rsidRPr="00C462FD" w:rsidRDefault="00FB470A" w:rsidP="00BE342B">
      <w:pPr>
        <w:pStyle w:val="Heading1"/>
        <w:rPr>
          <w:sz w:val="22"/>
          <w:szCs w:val="22"/>
        </w:rPr>
      </w:pPr>
      <w:r w:rsidRPr="00C462FD">
        <w:rPr>
          <w:sz w:val="22"/>
          <w:szCs w:val="22"/>
        </w:rPr>
        <w:t xml:space="preserve">Petitioner is entitled to properly compute its entire net income.  30 </w:t>
      </w:r>
      <w:r w:rsidRPr="00C462FD">
        <w:rPr>
          <w:i/>
          <w:sz w:val="22"/>
          <w:szCs w:val="22"/>
        </w:rPr>
        <w:t>Del. C.</w:t>
      </w:r>
      <w:r w:rsidRPr="00C462FD">
        <w:rPr>
          <w:sz w:val="22"/>
          <w:szCs w:val="22"/>
        </w:rPr>
        <w:t xml:space="preserve"> § 1903(a).  Petitioner participated in filing a consolidated federal income tax return.  Petitioner’s entire net income should have been based on the federal taxable income that Petitioner would have reported as if it had filed its own, separate income tax return with the federal government.  </w:t>
      </w:r>
      <w:r w:rsidR="00BE342B" w:rsidRPr="00C462FD">
        <w:rPr>
          <w:sz w:val="22"/>
          <w:szCs w:val="22"/>
        </w:rPr>
        <w:t xml:space="preserve">30 </w:t>
      </w:r>
      <w:r w:rsidR="00BE342B" w:rsidRPr="00C462FD">
        <w:rPr>
          <w:i/>
          <w:sz w:val="22"/>
          <w:szCs w:val="22"/>
        </w:rPr>
        <w:t>Del. C.</w:t>
      </w:r>
      <w:r w:rsidR="00BE342B" w:rsidRPr="00C462FD">
        <w:rPr>
          <w:sz w:val="22"/>
          <w:szCs w:val="22"/>
        </w:rPr>
        <w:t xml:space="preserve"> §§ 1901–1903; </w:t>
      </w:r>
      <w:r w:rsidR="00BE342B" w:rsidRPr="00C462FD">
        <w:rPr>
          <w:i/>
          <w:sz w:val="22"/>
          <w:szCs w:val="22"/>
        </w:rPr>
        <w:t>s</w:t>
      </w:r>
      <w:r w:rsidRPr="00C462FD">
        <w:rPr>
          <w:i/>
          <w:sz w:val="22"/>
          <w:szCs w:val="22"/>
        </w:rPr>
        <w:t xml:space="preserve">ee, e.g., </w:t>
      </w:r>
      <w:r w:rsidRPr="00C462FD">
        <w:rPr>
          <w:sz w:val="22"/>
          <w:szCs w:val="22"/>
        </w:rPr>
        <w:t xml:space="preserve">Del. Form </w:t>
      </w:r>
      <w:proofErr w:type="spellStart"/>
      <w:r w:rsidRPr="00C462FD">
        <w:rPr>
          <w:sz w:val="22"/>
          <w:szCs w:val="22"/>
        </w:rPr>
        <w:t>1100i</w:t>
      </w:r>
      <w:proofErr w:type="spellEnd"/>
      <w:r w:rsidRPr="00C462FD">
        <w:rPr>
          <w:sz w:val="22"/>
          <w:szCs w:val="22"/>
        </w:rPr>
        <w:t xml:space="preserve"> (2016). </w:t>
      </w:r>
    </w:p>
    <w:p w:rsidR="00F42B0D" w:rsidRPr="00C462FD" w:rsidRDefault="00F42B0D" w:rsidP="00F42B0D">
      <w:pPr>
        <w:pStyle w:val="Heading1"/>
        <w:rPr>
          <w:sz w:val="22"/>
          <w:szCs w:val="22"/>
        </w:rPr>
      </w:pPr>
      <w:r w:rsidRPr="00C462FD">
        <w:rPr>
          <w:sz w:val="22"/>
          <w:szCs w:val="22"/>
        </w:rPr>
        <w:t>Petitioner’s entire net income must be adjusted to exclude income that was ea</w:t>
      </w:r>
      <w:r w:rsidR="001A0C74" w:rsidRPr="00C462FD">
        <w:rPr>
          <w:sz w:val="22"/>
          <w:szCs w:val="22"/>
        </w:rPr>
        <w:t>rned by Petitioner’s affiliates.</w:t>
      </w:r>
    </w:p>
    <w:p w:rsidR="00FB470A" w:rsidRPr="00C462FD" w:rsidRDefault="00FB470A" w:rsidP="00FB470A">
      <w:pPr>
        <w:pStyle w:val="Heading1"/>
        <w:keepNext/>
        <w:tabs>
          <w:tab w:val="num" w:pos="1440"/>
        </w:tabs>
        <w:spacing w:after="0"/>
        <w:contextualSpacing/>
        <w:rPr>
          <w:sz w:val="22"/>
          <w:szCs w:val="22"/>
        </w:rPr>
      </w:pPr>
      <w:r w:rsidRPr="00C462FD">
        <w:rPr>
          <w:sz w:val="22"/>
          <w:szCs w:val="22"/>
        </w:rPr>
        <w:lastRenderedPageBreak/>
        <w:t xml:space="preserve">Petitioner is entitled to properly compute </w:t>
      </w:r>
      <w:r w:rsidR="00A76968" w:rsidRPr="00C462FD">
        <w:rPr>
          <w:sz w:val="22"/>
          <w:szCs w:val="22"/>
        </w:rPr>
        <w:t xml:space="preserve">the increases to, and eliminations from, </w:t>
      </w:r>
      <w:r w:rsidRPr="00C462FD">
        <w:rPr>
          <w:sz w:val="22"/>
          <w:szCs w:val="22"/>
        </w:rPr>
        <w:t xml:space="preserve">its entire net income.  30 </w:t>
      </w:r>
      <w:r w:rsidRPr="00C462FD">
        <w:rPr>
          <w:i/>
          <w:sz w:val="22"/>
          <w:szCs w:val="22"/>
        </w:rPr>
        <w:t>Del. C.</w:t>
      </w:r>
      <w:r w:rsidRPr="00C462FD">
        <w:rPr>
          <w:sz w:val="22"/>
          <w:szCs w:val="22"/>
        </w:rPr>
        <w:t xml:space="preserve"> § 1903(a).  </w:t>
      </w:r>
    </w:p>
    <w:p w:rsidR="00FB470A" w:rsidRPr="00C462FD" w:rsidRDefault="00FB470A" w:rsidP="007161F6">
      <w:pPr>
        <w:pStyle w:val="BodyText"/>
        <w:spacing w:after="0"/>
        <w:rPr>
          <w:sz w:val="22"/>
          <w:szCs w:val="22"/>
        </w:rPr>
      </w:pPr>
    </w:p>
    <w:p w:rsidR="00FB470A" w:rsidRPr="00C462FD" w:rsidRDefault="00FB470A" w:rsidP="00FB470A">
      <w:pPr>
        <w:pStyle w:val="Heading1"/>
        <w:keepNext/>
        <w:tabs>
          <w:tab w:val="num" w:pos="1440"/>
        </w:tabs>
        <w:spacing w:after="0"/>
        <w:contextualSpacing/>
        <w:rPr>
          <w:sz w:val="22"/>
          <w:szCs w:val="22"/>
        </w:rPr>
      </w:pPr>
      <w:r w:rsidRPr="00C462FD">
        <w:rPr>
          <w:sz w:val="22"/>
          <w:szCs w:val="22"/>
        </w:rPr>
        <w:t xml:space="preserve">Petitioner is entitled to properly compute </w:t>
      </w:r>
      <w:r w:rsidR="0062102A" w:rsidRPr="00C462FD">
        <w:rPr>
          <w:sz w:val="22"/>
          <w:szCs w:val="22"/>
        </w:rPr>
        <w:t>the portion of its entire net income allocated and apportioned to Delaware</w:t>
      </w:r>
      <w:r w:rsidRPr="00C462FD">
        <w:rPr>
          <w:sz w:val="22"/>
          <w:szCs w:val="22"/>
        </w:rPr>
        <w:t xml:space="preserve">.  30 </w:t>
      </w:r>
      <w:r w:rsidRPr="00C462FD">
        <w:rPr>
          <w:i/>
          <w:sz w:val="22"/>
          <w:szCs w:val="22"/>
        </w:rPr>
        <w:t>Del. C.</w:t>
      </w:r>
      <w:r w:rsidRPr="00C462FD">
        <w:rPr>
          <w:sz w:val="22"/>
          <w:szCs w:val="22"/>
        </w:rPr>
        <w:t xml:space="preserve"> §</w:t>
      </w:r>
      <w:r w:rsidR="0062102A" w:rsidRPr="00C462FD">
        <w:rPr>
          <w:sz w:val="22"/>
          <w:szCs w:val="22"/>
        </w:rPr>
        <w:t xml:space="preserve"> 1903(b</w:t>
      </w:r>
      <w:r w:rsidRPr="00C462FD">
        <w:rPr>
          <w:sz w:val="22"/>
          <w:szCs w:val="22"/>
        </w:rPr>
        <w:t xml:space="preserve">).  </w:t>
      </w:r>
    </w:p>
    <w:p w:rsidR="00777A69" w:rsidRPr="00C462FD" w:rsidRDefault="00777A69" w:rsidP="00777A69">
      <w:pPr>
        <w:pStyle w:val="BodyText"/>
        <w:rPr>
          <w:sz w:val="22"/>
          <w:szCs w:val="22"/>
        </w:rPr>
      </w:pPr>
    </w:p>
    <w:p w:rsidR="00FB470A" w:rsidRPr="00C462FD" w:rsidRDefault="00777A69" w:rsidP="00777A69">
      <w:pPr>
        <w:pStyle w:val="Heading1"/>
        <w:rPr>
          <w:sz w:val="22"/>
          <w:szCs w:val="22"/>
        </w:rPr>
      </w:pPr>
      <w:r w:rsidRPr="00C462FD">
        <w:rPr>
          <w:sz w:val="22"/>
          <w:szCs w:val="22"/>
        </w:rPr>
        <w:t xml:space="preserve">The application of the allocation or apportionment provisions result in an unfair or inequitable proportion of the taxpayer’s entire net income being assigned to Delaware.  Petitioner is entitled to exclude or alternatively weight the factors in the apportionment formula, or to use separate accounting or </w:t>
      </w:r>
      <w:r w:rsidR="00903A73" w:rsidRPr="00C462FD">
        <w:rPr>
          <w:sz w:val="22"/>
          <w:szCs w:val="22"/>
        </w:rPr>
        <w:t xml:space="preserve">another </w:t>
      </w:r>
      <w:r w:rsidRPr="00C462FD">
        <w:rPr>
          <w:sz w:val="22"/>
          <w:szCs w:val="22"/>
        </w:rPr>
        <w:t xml:space="preserve">method to produce a fair and equitable result.  30 </w:t>
      </w:r>
      <w:r w:rsidRPr="00C462FD">
        <w:rPr>
          <w:i/>
          <w:sz w:val="22"/>
          <w:szCs w:val="22"/>
        </w:rPr>
        <w:t>Del. C.</w:t>
      </w:r>
      <w:r w:rsidRPr="00C462FD">
        <w:rPr>
          <w:sz w:val="22"/>
          <w:szCs w:val="22"/>
        </w:rPr>
        <w:t xml:space="preserve"> § 1903(c).</w:t>
      </w:r>
    </w:p>
    <w:p w:rsidR="00225B3C" w:rsidRPr="00C462FD" w:rsidRDefault="00225B3C" w:rsidP="00225B3C">
      <w:pPr>
        <w:pStyle w:val="Heading1"/>
        <w:rPr>
          <w:sz w:val="22"/>
          <w:szCs w:val="22"/>
        </w:rPr>
      </w:pPr>
      <w:r w:rsidRPr="00C462FD">
        <w:rPr>
          <w:sz w:val="22"/>
          <w:szCs w:val="22"/>
        </w:rPr>
        <w:t>The tax imposed on Petitioner violates</w:t>
      </w:r>
      <w:r w:rsidR="000B21BF" w:rsidRPr="00C462FD">
        <w:rPr>
          <w:sz w:val="22"/>
          <w:szCs w:val="22"/>
        </w:rPr>
        <w:t xml:space="preserve"> the</w:t>
      </w:r>
      <w:r w:rsidRPr="00C462FD">
        <w:rPr>
          <w:sz w:val="22"/>
          <w:szCs w:val="22"/>
        </w:rPr>
        <w:t xml:space="preserve"> Uniformity Clause of the Delaware Constitution because it resulted in a tax that was not “uniform upon the same class of subjects within the territorial limits of the authority levying the tax.”  Del. Const., Art. 8, § 1</w:t>
      </w:r>
      <w:r w:rsidR="000B21BF" w:rsidRPr="00C462FD">
        <w:rPr>
          <w:sz w:val="22"/>
          <w:szCs w:val="22"/>
        </w:rPr>
        <w:t>.</w:t>
      </w:r>
    </w:p>
    <w:p w:rsidR="00FB470A" w:rsidRPr="00C462FD" w:rsidRDefault="00FB470A" w:rsidP="00ED0B2A">
      <w:pPr>
        <w:pStyle w:val="Heading1"/>
        <w:rPr>
          <w:sz w:val="22"/>
          <w:szCs w:val="22"/>
        </w:rPr>
      </w:pPr>
      <w:r w:rsidRPr="00C462FD">
        <w:rPr>
          <w:sz w:val="22"/>
          <w:szCs w:val="22"/>
        </w:rPr>
        <w:t xml:space="preserve">The </w:t>
      </w:r>
      <w:r w:rsidR="00ED0B2A" w:rsidRPr="00C462FD">
        <w:rPr>
          <w:sz w:val="22"/>
          <w:szCs w:val="22"/>
        </w:rPr>
        <w:t>t</w:t>
      </w:r>
      <w:r w:rsidRPr="00C462FD">
        <w:rPr>
          <w:sz w:val="22"/>
          <w:szCs w:val="22"/>
        </w:rPr>
        <w:t xml:space="preserve">ax imposed on Petitioner violates the Commerce Clause of the United States Constitution because it is imposed: (1) on activity without a substantial nexus to </w:t>
      </w:r>
      <w:r w:rsidR="000B21BF" w:rsidRPr="00C462FD">
        <w:rPr>
          <w:sz w:val="22"/>
          <w:szCs w:val="22"/>
        </w:rPr>
        <w:t>Delaware</w:t>
      </w:r>
      <w:r w:rsidRPr="00C462FD">
        <w:rPr>
          <w:sz w:val="22"/>
          <w:szCs w:val="22"/>
        </w:rPr>
        <w:t>; (2) in a manner that is not fairly apportioned; (3) in a manner that discriminates against interstate commerce; and (4) in a manner that is not fairly related to services provided by</w:t>
      </w:r>
      <w:r w:rsidR="00ED0B2A" w:rsidRPr="00C462FD">
        <w:rPr>
          <w:sz w:val="22"/>
          <w:szCs w:val="22"/>
        </w:rPr>
        <w:t xml:space="preserve"> Delaware</w:t>
      </w:r>
      <w:r w:rsidRPr="00C462FD">
        <w:rPr>
          <w:sz w:val="22"/>
          <w:szCs w:val="22"/>
        </w:rPr>
        <w:t xml:space="preserve">.  </w:t>
      </w:r>
      <w:r w:rsidRPr="00C462FD">
        <w:rPr>
          <w:i/>
          <w:sz w:val="22"/>
          <w:szCs w:val="22"/>
        </w:rPr>
        <w:t>See</w:t>
      </w:r>
      <w:r w:rsidRPr="00C462FD">
        <w:rPr>
          <w:sz w:val="22"/>
          <w:szCs w:val="22"/>
        </w:rPr>
        <w:t xml:space="preserve"> </w:t>
      </w:r>
      <w:r w:rsidRPr="00C462FD">
        <w:rPr>
          <w:i/>
          <w:sz w:val="22"/>
          <w:szCs w:val="22"/>
        </w:rPr>
        <w:t>Complete Auto Transit, Inc. v. Brady</w:t>
      </w:r>
      <w:r w:rsidRPr="00C462FD">
        <w:rPr>
          <w:sz w:val="22"/>
          <w:szCs w:val="22"/>
        </w:rPr>
        <w:t>, 430 U.S. 274 (1977).</w:t>
      </w:r>
    </w:p>
    <w:p w:rsidR="00FB470A" w:rsidRPr="00C462FD" w:rsidRDefault="00FB470A" w:rsidP="00ED0B2A">
      <w:pPr>
        <w:pStyle w:val="Heading1"/>
        <w:rPr>
          <w:sz w:val="22"/>
          <w:szCs w:val="22"/>
        </w:rPr>
      </w:pPr>
      <w:r w:rsidRPr="00C462FD">
        <w:rPr>
          <w:sz w:val="22"/>
          <w:szCs w:val="22"/>
        </w:rPr>
        <w:t xml:space="preserve">Petitioner is entitled to exclude income from non-unitary business operations.  </w:t>
      </w:r>
      <w:r w:rsidRPr="00C462FD">
        <w:rPr>
          <w:i/>
          <w:sz w:val="22"/>
          <w:szCs w:val="22"/>
        </w:rPr>
        <w:t>See</w:t>
      </w:r>
      <w:r w:rsidRPr="00C462FD">
        <w:rPr>
          <w:sz w:val="22"/>
          <w:szCs w:val="22"/>
        </w:rPr>
        <w:t xml:space="preserve"> </w:t>
      </w:r>
      <w:r w:rsidRPr="00C462FD">
        <w:rPr>
          <w:i/>
          <w:sz w:val="22"/>
          <w:szCs w:val="22"/>
        </w:rPr>
        <w:t>Allied-Signal, Inc. v. Director</w:t>
      </w:r>
      <w:r w:rsidR="00ED0B2A" w:rsidRPr="00C462FD">
        <w:rPr>
          <w:sz w:val="22"/>
          <w:szCs w:val="22"/>
        </w:rPr>
        <w:t>, 504 U.S. 768 (1992)</w:t>
      </w:r>
      <w:r w:rsidRPr="00C462FD">
        <w:rPr>
          <w:sz w:val="22"/>
          <w:szCs w:val="22"/>
        </w:rPr>
        <w:t>.</w:t>
      </w:r>
    </w:p>
    <w:p w:rsidR="00FB470A" w:rsidRPr="00C462FD" w:rsidRDefault="00FB470A" w:rsidP="00ED0B2A">
      <w:pPr>
        <w:pStyle w:val="Heading1"/>
        <w:rPr>
          <w:sz w:val="22"/>
          <w:szCs w:val="22"/>
        </w:rPr>
      </w:pPr>
      <w:r w:rsidRPr="00C462FD">
        <w:rPr>
          <w:sz w:val="22"/>
          <w:szCs w:val="22"/>
        </w:rPr>
        <w:t xml:space="preserve">The </w:t>
      </w:r>
      <w:r w:rsidR="00F42B0D" w:rsidRPr="00C462FD">
        <w:rPr>
          <w:sz w:val="22"/>
          <w:szCs w:val="22"/>
        </w:rPr>
        <w:t>t</w:t>
      </w:r>
      <w:r w:rsidRPr="00C462FD">
        <w:rPr>
          <w:sz w:val="22"/>
          <w:szCs w:val="22"/>
        </w:rPr>
        <w:t>ax imposed on Petitioner violates the Equal Protection and Due Process Clauses of the United States Constitution.  For example:</w:t>
      </w:r>
      <w:r w:rsidR="00ED0B2A" w:rsidRPr="00C462FD">
        <w:rPr>
          <w:sz w:val="22"/>
          <w:szCs w:val="22"/>
        </w:rPr>
        <w:t xml:space="preserve"> </w:t>
      </w:r>
      <w:r w:rsidRPr="00C462FD">
        <w:rPr>
          <w:sz w:val="22"/>
          <w:szCs w:val="22"/>
        </w:rPr>
        <w:t xml:space="preserve">Petitioner’s </w:t>
      </w:r>
      <w:r w:rsidR="00F50222">
        <w:rPr>
          <w:sz w:val="22"/>
          <w:szCs w:val="22"/>
        </w:rPr>
        <w:t>t</w:t>
      </w:r>
      <w:r w:rsidRPr="00C462FD">
        <w:rPr>
          <w:sz w:val="22"/>
          <w:szCs w:val="22"/>
        </w:rPr>
        <w:t>ax is computed at a higher effective rate than oth</w:t>
      </w:r>
      <w:r w:rsidR="00ED0B2A" w:rsidRPr="00C462FD">
        <w:rPr>
          <w:sz w:val="22"/>
          <w:szCs w:val="22"/>
        </w:rPr>
        <w:t xml:space="preserve">er similarly situated taxpayers; and </w:t>
      </w:r>
      <w:r w:rsidRPr="00C462FD">
        <w:rPr>
          <w:sz w:val="22"/>
          <w:szCs w:val="22"/>
        </w:rPr>
        <w:t xml:space="preserve">Petitioner’s taxable income is apportioned to </w:t>
      </w:r>
      <w:r w:rsidR="00ED0B2A" w:rsidRPr="00C462FD">
        <w:rPr>
          <w:sz w:val="22"/>
          <w:szCs w:val="22"/>
        </w:rPr>
        <w:t xml:space="preserve">Delaware </w:t>
      </w:r>
      <w:r w:rsidRPr="00C462FD">
        <w:rPr>
          <w:sz w:val="22"/>
          <w:szCs w:val="22"/>
        </w:rPr>
        <w:t>in a greater concentration than other similarly situated taxpayers.</w:t>
      </w:r>
    </w:p>
    <w:p w:rsidR="00FB470A" w:rsidRPr="00C462FD" w:rsidRDefault="00FB470A" w:rsidP="007F1E77">
      <w:pPr>
        <w:pStyle w:val="Heading1"/>
        <w:rPr>
          <w:sz w:val="22"/>
          <w:szCs w:val="22"/>
        </w:rPr>
      </w:pPr>
      <w:r w:rsidRPr="00C462FD">
        <w:rPr>
          <w:sz w:val="22"/>
          <w:szCs w:val="22"/>
        </w:rPr>
        <w:t xml:space="preserve">The </w:t>
      </w:r>
      <w:r w:rsidR="00E03BF4" w:rsidRPr="00C462FD">
        <w:rPr>
          <w:sz w:val="22"/>
          <w:szCs w:val="22"/>
        </w:rPr>
        <w:t>t</w:t>
      </w:r>
      <w:r w:rsidRPr="00C462FD">
        <w:rPr>
          <w:sz w:val="22"/>
          <w:szCs w:val="22"/>
        </w:rPr>
        <w:t>ax imposed on Petitioner reflects such a high effective tax rate that it violates Petitioner’s due process rights and amounts to a taking of property without compensation in violation of the Takings Clause of the United States Constitution.</w:t>
      </w:r>
    </w:p>
    <w:p w:rsidR="00E03BF4" w:rsidRPr="00C462FD" w:rsidRDefault="00E03BF4" w:rsidP="00E03BF4">
      <w:pPr>
        <w:pStyle w:val="Heading1"/>
        <w:rPr>
          <w:sz w:val="22"/>
          <w:szCs w:val="22"/>
        </w:rPr>
      </w:pPr>
      <w:r w:rsidRPr="00C462FD">
        <w:rPr>
          <w:sz w:val="22"/>
          <w:szCs w:val="22"/>
        </w:rPr>
        <w:t>Any penalties should be abated because they were not properly imposed or computed under the provisions of the Delaware Code, and because Petitioner acted in good faith and without negligence</w:t>
      </w:r>
      <w:r w:rsidR="004B66F5" w:rsidRPr="00C462FD">
        <w:rPr>
          <w:sz w:val="22"/>
          <w:szCs w:val="22"/>
        </w:rPr>
        <w:t xml:space="preserve"> or disregard of rules and regulations.</w:t>
      </w:r>
    </w:p>
    <w:p w:rsidR="00C462FD" w:rsidRPr="00C462FD" w:rsidRDefault="00C462FD" w:rsidP="00C462FD">
      <w:pPr>
        <w:pStyle w:val="BodyText"/>
        <w:rPr>
          <w:sz w:val="22"/>
          <w:szCs w:val="22"/>
        </w:rPr>
      </w:pPr>
      <w:r w:rsidRPr="00C462FD">
        <w:rPr>
          <w:sz w:val="22"/>
          <w:szCs w:val="22"/>
        </w:rPr>
        <w:t>Please contact me with questions</w:t>
      </w:r>
      <w:r w:rsidR="00C941F2">
        <w:rPr>
          <w:sz w:val="22"/>
          <w:szCs w:val="22"/>
        </w:rPr>
        <w:t>.</w:t>
      </w:r>
    </w:p>
    <w:p w:rsidR="00C462FD" w:rsidRPr="00C462FD" w:rsidRDefault="00C462FD" w:rsidP="00C462FD">
      <w:pPr>
        <w:pStyle w:val="BodyText"/>
        <w:rPr>
          <w:sz w:val="22"/>
          <w:szCs w:val="22"/>
        </w:rPr>
      </w:pPr>
    </w:p>
    <w:p w:rsidR="00C462FD" w:rsidRPr="006414F7" w:rsidRDefault="00C462FD" w:rsidP="00C462FD">
      <w:pPr>
        <w:pStyle w:val="BodyText"/>
        <w:rPr>
          <w:sz w:val="22"/>
          <w:szCs w:val="22"/>
          <w:highlight w:val="yellow"/>
        </w:rPr>
      </w:pPr>
      <w:r w:rsidRPr="006414F7">
        <w:rPr>
          <w:sz w:val="22"/>
          <w:szCs w:val="22"/>
          <w:highlight w:val="yellow"/>
        </w:rPr>
        <w:t>[signature]</w:t>
      </w:r>
    </w:p>
    <w:p w:rsidR="00C462FD" w:rsidRPr="00C462FD" w:rsidRDefault="00C462FD" w:rsidP="00C462FD">
      <w:pPr>
        <w:pStyle w:val="BodyText"/>
        <w:rPr>
          <w:sz w:val="22"/>
          <w:szCs w:val="22"/>
        </w:rPr>
      </w:pPr>
      <w:r w:rsidRPr="006414F7">
        <w:rPr>
          <w:sz w:val="22"/>
          <w:szCs w:val="22"/>
          <w:highlight w:val="yellow"/>
        </w:rPr>
        <w:t>[signature block]</w:t>
      </w:r>
    </w:p>
    <w:p w:rsidR="00C462FD" w:rsidRPr="00C462FD" w:rsidRDefault="00C462FD" w:rsidP="00C462FD">
      <w:pPr>
        <w:pStyle w:val="BodyText"/>
        <w:rPr>
          <w:sz w:val="22"/>
          <w:szCs w:val="22"/>
        </w:rPr>
      </w:pPr>
    </w:p>
    <w:sectPr w:rsidR="00C462FD" w:rsidRPr="00C462FD" w:rsidSect="00FA2B37">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0A" w:rsidRDefault="00FB470A" w:rsidP="00FA2B37">
      <w:r>
        <w:separator/>
      </w:r>
    </w:p>
  </w:endnote>
  <w:endnote w:type="continuationSeparator" w:id="0">
    <w:p w:rsidR="00FB470A" w:rsidRDefault="00FB470A" w:rsidP="00F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37" w:rsidRDefault="00FA2B37" w:rsidP="00FA2B37">
    <w:pPr>
      <w:pStyle w:val="Footer"/>
    </w:pPr>
    <w:r w:rsidRPr="00FA2B37">
      <w:tab/>
    </w:r>
    <w:r>
      <w:t xml:space="preserve">- </w:t>
    </w:r>
    <w:r>
      <w:fldChar w:fldCharType="begin"/>
    </w:r>
    <w:r>
      <w:instrText xml:space="preserve"> PAGE   \* MERGEFORMAT </w:instrText>
    </w:r>
    <w:r>
      <w:fldChar w:fldCharType="separate"/>
    </w:r>
    <w:r w:rsidR="004450DF">
      <w:rPr>
        <w:noProof/>
      </w:rPr>
      <w:t>2</w:t>
    </w:r>
    <w:r>
      <w:rPr>
        <w:noProof/>
      </w:rPr>
      <w:fldChar w:fldCharType="end"/>
    </w:r>
    <w:r>
      <w:rPr>
        <w:noProof/>
      </w:rPr>
      <w:t xml:space="preserve"> -</w:t>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CA" w:rsidRDefault="00FA2B37" w:rsidP="000236CA">
    <w:pPr>
      <w:pStyle w:val="Footer"/>
    </w:pPr>
    <w:r>
      <w:tab/>
    </w:r>
    <w:r w:rsidR="001011FF">
      <w:t xml:space="preserve">- </w:t>
    </w:r>
    <w:r w:rsidR="001011FF">
      <w:fldChar w:fldCharType="begin"/>
    </w:r>
    <w:r w:rsidR="001011FF">
      <w:instrText xml:space="preserve"> PAGE   \* MERGEFORMAT </w:instrText>
    </w:r>
    <w:r w:rsidR="001011FF">
      <w:fldChar w:fldCharType="separate"/>
    </w:r>
    <w:r w:rsidR="004450DF">
      <w:rPr>
        <w:noProof/>
      </w:rPr>
      <w:t>1</w:t>
    </w:r>
    <w:r w:rsidR="001011FF">
      <w:rPr>
        <w:noProof/>
      </w:rPr>
      <w:fldChar w:fldCharType="end"/>
    </w:r>
    <w:r w:rsidR="001011FF">
      <w:rPr>
        <w:noProof/>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0A" w:rsidRDefault="00FB470A" w:rsidP="00FA2B37">
      <w:r>
        <w:separator/>
      </w:r>
    </w:p>
  </w:footnote>
  <w:footnote w:type="continuationSeparator" w:id="0">
    <w:p w:rsidR="00FB470A" w:rsidRDefault="00FB470A" w:rsidP="00FA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6AE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6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5" w15:restartNumberingAfterBreak="0">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6" w15:restartNumberingAfterBreak="0">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17" w15:restartNumberingAfterBreak="0">
    <w:nsid w:val="5E104D9F"/>
    <w:multiLevelType w:val="hybridMultilevel"/>
    <w:tmpl w:val="3E92B536"/>
    <w:lvl w:ilvl="0" w:tplc="2A00C15A">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F22C6"/>
    <w:multiLevelType w:val="hybridMultilevel"/>
    <w:tmpl w:val="BAE6950C"/>
    <w:lvl w:ilvl="0" w:tplc="69C4036E">
      <w:start w:val="1"/>
      <w:numFmt w:val="bullet"/>
      <w:pStyle w:val="RSBulletedList"/>
      <w:lvlText w:val=""/>
      <w:lvlJc w:val="left"/>
      <w:pPr>
        <w:tabs>
          <w:tab w:val="num" w:pos="720"/>
        </w:tabs>
        <w:ind w:left="1440" w:hanging="720"/>
      </w:pPr>
      <w:rPr>
        <w:rFonts w:ascii="Symbol" w:hAnsi="Symbol" w:hint="default"/>
      </w:rPr>
    </w:lvl>
    <w:lvl w:ilvl="1" w:tplc="F522B20C">
      <w:start w:val="1"/>
      <w:numFmt w:val="bullet"/>
      <w:lvlText w:val="o"/>
      <w:lvlJc w:val="left"/>
      <w:pPr>
        <w:tabs>
          <w:tab w:val="num" w:pos="1080"/>
        </w:tabs>
        <w:ind w:left="720" w:hanging="360"/>
      </w:pPr>
      <w:rPr>
        <w:rFonts w:ascii="Courier New" w:hAnsi="Courier New" w:hint="default"/>
      </w:rPr>
    </w:lvl>
    <w:lvl w:ilvl="2" w:tplc="B0B0F07E">
      <w:start w:val="1"/>
      <w:numFmt w:val="bullet"/>
      <w:lvlText w:val=""/>
      <w:lvlJc w:val="left"/>
      <w:pPr>
        <w:tabs>
          <w:tab w:val="num" w:pos="1440"/>
        </w:tabs>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14"/>
  </w:num>
  <w:num w:numId="2">
    <w:abstractNumId w:val="16"/>
  </w:num>
  <w:num w:numId="3">
    <w:abstractNumId w:val="10"/>
  </w:num>
  <w:num w:numId="4">
    <w:abstractNumId w:val="19"/>
  </w:num>
  <w:num w:numId="5">
    <w:abstractNumId w:val="18"/>
  </w:num>
  <w:num w:numId="6">
    <w:abstractNumId w:val="11"/>
  </w:num>
  <w:num w:numId="7">
    <w:abstractNumId w:val="12"/>
  </w:num>
  <w:num w:numId="8">
    <w:abstractNumId w:val="17"/>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SortMethod w:val="00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ClientNumber" w:val="999983"/>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LastSchemeChoice" w:val="RS Standard"/>
    <w:docVar w:name="LastSchemeUniqueID" w:val="182"/>
    <w:docVar w:name="LegacyDocIDRemoved" w:val="True"/>
    <w:docVar w:name="LegacyNa" w:val="False"/>
    <w:docVar w:name="MatterNumber" w:val="24501"/>
    <w:docVar w:name="Option0True" w:val="False"/>
    <w:docVar w:name="Option1True" w:val="False"/>
    <w:docVar w:name="Option2True" w:val="False"/>
    <w:docVar w:name="Option3True" w:val="False"/>
  </w:docVars>
  <w:rsids>
    <w:rsidRoot w:val="00FB470A"/>
    <w:rsid w:val="000236CA"/>
    <w:rsid w:val="000626A7"/>
    <w:rsid w:val="000750A0"/>
    <w:rsid w:val="000B21BF"/>
    <w:rsid w:val="000E038C"/>
    <w:rsid w:val="000F7039"/>
    <w:rsid w:val="001011FF"/>
    <w:rsid w:val="00152ABD"/>
    <w:rsid w:val="0019579C"/>
    <w:rsid w:val="001A0C74"/>
    <w:rsid w:val="001A1E6E"/>
    <w:rsid w:val="001E3386"/>
    <w:rsid w:val="001F3AE0"/>
    <w:rsid w:val="00213653"/>
    <w:rsid w:val="00225B3C"/>
    <w:rsid w:val="00233579"/>
    <w:rsid w:val="00283BD9"/>
    <w:rsid w:val="0029518E"/>
    <w:rsid w:val="002B6A36"/>
    <w:rsid w:val="002C657A"/>
    <w:rsid w:val="002E4C86"/>
    <w:rsid w:val="00337B4A"/>
    <w:rsid w:val="003464C4"/>
    <w:rsid w:val="00382AAD"/>
    <w:rsid w:val="0039653E"/>
    <w:rsid w:val="003A06FD"/>
    <w:rsid w:val="003A38DF"/>
    <w:rsid w:val="004450DF"/>
    <w:rsid w:val="0045247D"/>
    <w:rsid w:val="004B66F5"/>
    <w:rsid w:val="004F3259"/>
    <w:rsid w:val="004F35C5"/>
    <w:rsid w:val="0050719B"/>
    <w:rsid w:val="00550B4E"/>
    <w:rsid w:val="005A4A66"/>
    <w:rsid w:val="005B0BC5"/>
    <w:rsid w:val="005B4336"/>
    <w:rsid w:val="005B7E29"/>
    <w:rsid w:val="005D3ADD"/>
    <w:rsid w:val="0062102A"/>
    <w:rsid w:val="006414F7"/>
    <w:rsid w:val="006B4505"/>
    <w:rsid w:val="006D5BE2"/>
    <w:rsid w:val="007041A8"/>
    <w:rsid w:val="007161F6"/>
    <w:rsid w:val="00737A2B"/>
    <w:rsid w:val="00777A69"/>
    <w:rsid w:val="007F1E77"/>
    <w:rsid w:val="0082333C"/>
    <w:rsid w:val="00827B45"/>
    <w:rsid w:val="0084472B"/>
    <w:rsid w:val="00897C2F"/>
    <w:rsid w:val="008A152B"/>
    <w:rsid w:val="00903A73"/>
    <w:rsid w:val="00935D9D"/>
    <w:rsid w:val="009546FC"/>
    <w:rsid w:val="009A0062"/>
    <w:rsid w:val="009E31E3"/>
    <w:rsid w:val="00A4032C"/>
    <w:rsid w:val="00A50291"/>
    <w:rsid w:val="00A76968"/>
    <w:rsid w:val="00A84C90"/>
    <w:rsid w:val="00A94C29"/>
    <w:rsid w:val="00AD1EB4"/>
    <w:rsid w:val="00AF451F"/>
    <w:rsid w:val="00AF7CC4"/>
    <w:rsid w:val="00B32E37"/>
    <w:rsid w:val="00B52C2D"/>
    <w:rsid w:val="00B64F33"/>
    <w:rsid w:val="00BE342B"/>
    <w:rsid w:val="00BF5C2F"/>
    <w:rsid w:val="00C373E2"/>
    <w:rsid w:val="00C42644"/>
    <w:rsid w:val="00C462FD"/>
    <w:rsid w:val="00C568D9"/>
    <w:rsid w:val="00C85D61"/>
    <w:rsid w:val="00C941F2"/>
    <w:rsid w:val="00CB4888"/>
    <w:rsid w:val="00CF44E6"/>
    <w:rsid w:val="00D205DC"/>
    <w:rsid w:val="00D76EA0"/>
    <w:rsid w:val="00D85F26"/>
    <w:rsid w:val="00D9628B"/>
    <w:rsid w:val="00E03BF4"/>
    <w:rsid w:val="00E87AE9"/>
    <w:rsid w:val="00ED0B2A"/>
    <w:rsid w:val="00F141E2"/>
    <w:rsid w:val="00F17664"/>
    <w:rsid w:val="00F42B0D"/>
    <w:rsid w:val="00F50222"/>
    <w:rsid w:val="00F57B2E"/>
    <w:rsid w:val="00F813C5"/>
    <w:rsid w:val="00F942CF"/>
    <w:rsid w:val="00FA2B37"/>
    <w:rsid w:val="00FB2D1B"/>
    <w:rsid w:val="00FB470A"/>
    <w:rsid w:val="00FD26CB"/>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1F8473E-2DD4-40DA-8B2D-1384F8C5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3BD9"/>
  </w:style>
  <w:style w:type="paragraph" w:styleId="Heading1">
    <w:name w:val="heading 1"/>
    <w:basedOn w:val="Normal"/>
    <w:next w:val="BodyText"/>
    <w:link w:val="Heading1Char"/>
    <w:qFormat/>
    <w:rsid w:val="004F35C5"/>
    <w:pPr>
      <w:numPr>
        <w:numId w:val="20"/>
      </w:numPr>
      <w:spacing w:after="240"/>
      <w:outlineLvl w:val="0"/>
    </w:pPr>
    <w:rPr>
      <w:rFonts w:eastAsiaTheme="majorEastAsia" w:cs="Times New Roman"/>
      <w:bCs/>
      <w:szCs w:val="28"/>
    </w:rPr>
  </w:style>
  <w:style w:type="paragraph" w:styleId="Heading2">
    <w:name w:val="heading 2"/>
    <w:basedOn w:val="Normal"/>
    <w:next w:val="BodyText"/>
    <w:link w:val="Heading2Char"/>
    <w:unhideWhenUsed/>
    <w:qFormat/>
    <w:rsid w:val="004F35C5"/>
    <w:pPr>
      <w:numPr>
        <w:ilvl w:val="1"/>
        <w:numId w:val="20"/>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unhideWhenUsed/>
    <w:qFormat/>
    <w:rsid w:val="004F35C5"/>
    <w:pPr>
      <w:numPr>
        <w:ilvl w:val="2"/>
        <w:numId w:val="20"/>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unhideWhenUsed/>
    <w:qFormat/>
    <w:rsid w:val="004F35C5"/>
    <w:pPr>
      <w:numPr>
        <w:ilvl w:val="3"/>
        <w:numId w:val="20"/>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semiHidden/>
    <w:unhideWhenUsed/>
    <w:qFormat/>
    <w:rsid w:val="004F35C5"/>
    <w:pPr>
      <w:numPr>
        <w:ilvl w:val="4"/>
        <w:numId w:val="20"/>
      </w:numPr>
      <w:tabs>
        <w:tab w:val="left" w:pos="3600"/>
      </w:tabs>
      <w:spacing w:after="240"/>
      <w:outlineLvl w:val="4"/>
    </w:pPr>
    <w:rPr>
      <w:rFonts w:eastAsiaTheme="majorEastAsia" w:cs="Times New Roman"/>
    </w:rPr>
  </w:style>
  <w:style w:type="paragraph" w:styleId="Heading6">
    <w:name w:val="heading 6"/>
    <w:basedOn w:val="Normal"/>
    <w:next w:val="BodyText"/>
    <w:link w:val="Heading6Char"/>
    <w:semiHidden/>
    <w:unhideWhenUsed/>
    <w:qFormat/>
    <w:rsid w:val="004F35C5"/>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4F35C5"/>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4F35C5"/>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4F35C5"/>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4472B"/>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szCs w:val="26"/>
    </w:rPr>
  </w:style>
  <w:style w:type="character" w:customStyle="1" w:styleId="Heading3Char">
    <w:name w:val="Heading 3 Char"/>
    <w:basedOn w:val="DefaultParagraphFont"/>
    <w:link w:val="Heading3"/>
    <w:semiHidden/>
    <w:rsid w:val="009A0062"/>
    <w:rPr>
      <w:rFonts w:eastAsiaTheme="majorEastAsia" w:cs="Times New Roman"/>
      <w:bCs/>
    </w:rPr>
  </w:style>
  <w:style w:type="character" w:customStyle="1" w:styleId="Heading4Char">
    <w:name w:val="Heading 4 Char"/>
    <w:basedOn w:val="DefaultParagraphFont"/>
    <w:link w:val="Heading4"/>
    <w:semiHidden/>
    <w:rsid w:val="009A0062"/>
    <w:rPr>
      <w:rFonts w:eastAsiaTheme="majorEastAsia" w:cs="Times New Roman"/>
      <w:bCs/>
      <w:iCs/>
    </w:rPr>
  </w:style>
  <w:style w:type="character" w:customStyle="1" w:styleId="Heading5Char">
    <w:name w:val="Heading 5 Char"/>
    <w:basedOn w:val="DefaultParagraphFont"/>
    <w:link w:val="Heading5"/>
    <w:semiHidden/>
    <w:rsid w:val="009A0062"/>
    <w:rPr>
      <w:rFonts w:eastAsiaTheme="majorEastAsia" w:cs="Times New Roman"/>
    </w:rPr>
  </w:style>
  <w:style w:type="character" w:customStyle="1" w:styleId="Heading6Char">
    <w:name w:val="Heading 6 Char"/>
    <w:basedOn w:val="DefaultParagraphFont"/>
    <w:link w:val="Heading6"/>
    <w:semiHidden/>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customStyle="1" w:styleId="Indent1">
    <w:name w:val="Indent 1"/>
    <w:basedOn w:val="Normal"/>
    <w:rsid w:val="00FB470A"/>
    <w:pPr>
      <w:spacing w:after="240"/>
      <w:ind w:left="720"/>
    </w:pPr>
    <w:rPr>
      <w:sz w:val="28"/>
    </w:rPr>
  </w:style>
  <w:style w:type="paragraph" w:styleId="FootnoteText">
    <w:name w:val="footnote text"/>
    <w:basedOn w:val="Normal"/>
    <w:link w:val="FootnoteTextChar"/>
    <w:uiPriority w:val="99"/>
    <w:semiHidden/>
    <w:unhideWhenUsed/>
    <w:rsid w:val="0045247D"/>
    <w:rPr>
      <w:sz w:val="20"/>
      <w:szCs w:val="20"/>
    </w:rPr>
  </w:style>
  <w:style w:type="character" w:customStyle="1" w:styleId="FootnoteTextChar">
    <w:name w:val="Footnote Text Char"/>
    <w:basedOn w:val="DefaultParagraphFont"/>
    <w:link w:val="FootnoteText"/>
    <w:uiPriority w:val="99"/>
    <w:semiHidden/>
    <w:rsid w:val="0045247D"/>
    <w:rPr>
      <w:sz w:val="20"/>
      <w:szCs w:val="20"/>
    </w:rPr>
  </w:style>
  <w:style w:type="character" w:styleId="FootnoteReference">
    <w:name w:val="footnote reference"/>
    <w:basedOn w:val="DefaultParagraphFont"/>
    <w:uiPriority w:val="99"/>
    <w:semiHidden/>
    <w:unhideWhenUsed/>
    <w:rsid w:val="00452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3674">
      <w:bodyDiv w:val="1"/>
      <w:marLeft w:val="0"/>
      <w:marRight w:val="0"/>
      <w:marTop w:val="0"/>
      <w:marBottom w:val="0"/>
      <w:divBdr>
        <w:top w:val="none" w:sz="0" w:space="0" w:color="auto"/>
        <w:left w:val="none" w:sz="0" w:space="0" w:color="auto"/>
        <w:bottom w:val="none" w:sz="0" w:space="0" w:color="auto"/>
        <w:right w:val="none" w:sz="0" w:space="0" w:color="auto"/>
      </w:divBdr>
    </w:div>
    <w:div w:id="791826034">
      <w:bodyDiv w:val="1"/>
      <w:marLeft w:val="0"/>
      <w:marRight w:val="0"/>
      <w:marTop w:val="0"/>
      <w:marBottom w:val="0"/>
      <w:divBdr>
        <w:top w:val="none" w:sz="0" w:space="0" w:color="auto"/>
        <w:left w:val="none" w:sz="0" w:space="0" w:color="auto"/>
        <w:bottom w:val="none" w:sz="0" w:space="0" w:color="auto"/>
        <w:right w:val="none" w:sz="0" w:space="0" w:color="auto"/>
      </w:divBdr>
    </w:div>
    <w:div w:id="1306856305">
      <w:bodyDiv w:val="1"/>
      <w:marLeft w:val="0"/>
      <w:marRight w:val="0"/>
      <w:marTop w:val="0"/>
      <w:marBottom w:val="0"/>
      <w:divBdr>
        <w:top w:val="none" w:sz="0" w:space="0" w:color="auto"/>
        <w:left w:val="none" w:sz="0" w:space="0" w:color="auto"/>
        <w:bottom w:val="none" w:sz="0" w:space="0" w:color="auto"/>
        <w:right w:val="none" w:sz="0" w:space="0" w:color="auto"/>
      </w:divBdr>
    </w:div>
    <w:div w:id="16303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R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1</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Sebastian C.</dc:creator>
  <cp:keywords/>
  <dc:description/>
  <cp:lastModifiedBy>Depler, Alicia M.</cp:lastModifiedBy>
  <cp:revision>2</cp:revision>
  <dcterms:created xsi:type="dcterms:W3CDTF">2021-12-07T15:39:00Z</dcterms:created>
  <dcterms:modified xsi:type="dcterms:W3CDTF">2021-12-07T15:39:00Z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DocID">
    <vt:lpwstr>US_ACTIVE-163972520.3-SCWATT</vt:lpwstr>
  </property>
</Properties>
</file>